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small-scale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penetrate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small-scale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0.3%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0.03%.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C2BN,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bachelor's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volatile.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00:08:57]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outrageous,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cubicle.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cubicles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00:13:38]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miscellaneous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fast-forward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fast-forward.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eclectic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Flashbacks.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notoriety?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higher-end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lower-end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courtesy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courtesy.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Zeta-Jones.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low-key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PayPal.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restaurateur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affluent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front-loaded.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landlord,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landlords.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tattoos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00:41:23]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gambling.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 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shopmainstreet.org.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Patrice Hull (Completed  09/14/24)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16,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Y1V6CcKceb-s9HQHu4hO7s8POSEwZcpdDqX6W7jlRwUeqLLitRG9yyJdxm3oa8X9s5NPmEwz7B1CzAzjwejIlnqiLEg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